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6A52B1" w14:textId="77777777" w:rsidR="00D00757" w:rsidRPr="00D00757" w:rsidRDefault="00D00757" w:rsidP="00D00757">
      <w:pPr>
        <w:widowControl w:val="0"/>
        <w:autoSpaceDE w:val="0"/>
        <w:autoSpaceDN w:val="0"/>
        <w:adjustRightInd w:val="0"/>
        <w:ind w:right="70"/>
        <w:jc w:val="center"/>
        <w:rPr>
          <w:rFonts w:ascii="Times New Roman" w:hAnsi="Times New Roman"/>
          <w:b/>
          <w:iCs/>
          <w:spacing w:val="-1"/>
          <w:sz w:val="20"/>
          <w:szCs w:val="20"/>
        </w:rPr>
      </w:pPr>
    </w:p>
    <w:p w14:paraId="64E98CB5" w14:textId="30D6BC89" w:rsidR="00D00757" w:rsidRPr="00D00757" w:rsidRDefault="00CE75BE" w:rsidP="00D00757">
      <w:pPr>
        <w:widowControl w:val="0"/>
        <w:autoSpaceDE w:val="0"/>
        <w:autoSpaceDN w:val="0"/>
        <w:adjustRightInd w:val="0"/>
        <w:ind w:right="70"/>
        <w:jc w:val="center"/>
        <w:rPr>
          <w:rFonts w:ascii="Times New Roman" w:hAnsi="Times New Roman"/>
          <w:b/>
          <w:iCs/>
          <w:spacing w:val="-1"/>
          <w:sz w:val="36"/>
          <w:szCs w:val="36"/>
        </w:rPr>
      </w:pPr>
      <w:r w:rsidRPr="00D00757">
        <w:rPr>
          <w:rFonts w:ascii="Times New Roman" w:hAnsi="Times New Roman"/>
          <w:b/>
          <w:iCs/>
          <w:spacing w:val="-1"/>
          <w:sz w:val="36"/>
          <w:szCs w:val="36"/>
        </w:rPr>
        <w:t xml:space="preserve">La conquista degli </w:t>
      </w:r>
      <w:r>
        <w:rPr>
          <w:rFonts w:ascii="Times New Roman" w:hAnsi="Times New Roman"/>
          <w:b/>
          <w:iCs/>
          <w:spacing w:val="-1"/>
          <w:sz w:val="36"/>
          <w:szCs w:val="36"/>
        </w:rPr>
        <w:t>I</w:t>
      </w:r>
      <w:r w:rsidRPr="00D00757">
        <w:rPr>
          <w:rFonts w:ascii="Times New Roman" w:hAnsi="Times New Roman"/>
          <w:b/>
          <w:iCs/>
          <w:spacing w:val="-1"/>
          <w:sz w:val="36"/>
          <w:szCs w:val="36"/>
        </w:rPr>
        <w:t>mpressionisti</w:t>
      </w:r>
    </w:p>
    <w:p w14:paraId="6EC7F0F1"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sz w:val="20"/>
          <w:szCs w:val="20"/>
        </w:rPr>
      </w:pPr>
    </w:p>
    <w:p w14:paraId="07733628"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La mostra impressionista del 1874 inaugura sicuramente una nuova fase nella storia dell’arte. L’evento non rappresenta un’immissione improvvisa ma è più che altro un punto di arrivo di un lento e lungo percorso. L’Impressionismo è debitore, nei principi teorici, di tutti i grandi artisti del passato e affonda le sue radici nei venti anni che precedono la loro mostra, anni di formazione tesi ad un inedito approccio con la natura e in cui nascono gli assunti principali del movimento.</w:t>
      </w:r>
    </w:p>
    <w:p w14:paraId="69F13F85"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Questo periodo è dominato da artisti più anziani ma di grande talento come Ingres, Delacroix, Corot e Courbet. Di qui è fondamentale l’importanza di quegli anni, in cui Manet, Renoir e Pissarro rifiutano di conformarsi ai propri insegnanti imboccando, così, la strada che li porterà all’Impressionismo.</w:t>
      </w:r>
    </w:p>
    <w:p w14:paraId="671ECAD9"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2358D880" w14:textId="50093EC4"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La storia inizia verso la fine degli anni </w:t>
      </w:r>
      <w:r w:rsidR="007C1FF9">
        <w:rPr>
          <w:rFonts w:ascii="Times New Roman" w:hAnsi="Times New Roman"/>
          <w:bCs/>
          <w:iCs/>
          <w:spacing w:val="-1"/>
        </w:rPr>
        <w:t>C</w:t>
      </w:r>
      <w:r w:rsidRPr="00D00757">
        <w:rPr>
          <w:rFonts w:ascii="Times New Roman" w:hAnsi="Times New Roman"/>
          <w:bCs/>
          <w:iCs/>
          <w:spacing w:val="-1"/>
        </w:rPr>
        <w:t>inquanta dell’Ottocento, quando Claude Monet all’età di quindici anni, a Le Havre, è già un conosciuto caricaturista. Egli entra in contatto con Eugène Boudin, il “corniciaio-pittore” che espose le sue caricature e che incorniciava le opere di molti artisti come Couture e Troyon. Monet, grazie a Boudin, imparò a capire la natura e contemporaneamente ad amarla, perché il suo maestro non era né un dottrinario né un teorico e tutto quello che sapeva l’aveva appreso con gli occhi e con il cuore.</w:t>
      </w:r>
    </w:p>
    <w:p w14:paraId="22766F08"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348E5927"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Monet nel 1859 è a Parigi e al Salon ammira in maniera particolare i lavori di Daubigny, Corot e Troyon. Quest’ultimo, dopo aver visto un paio di nature morte del caricaturista di Le Havre, gli consigliò di seguire degli studi, dato il suo notevole ma ancora acerbo talento. Monet però rifiutò di entrare all’École des Beaux-Arts, preferendo frequentare la Brasserie des Martyrs, e qualche tempo dopo l’Académie Suisse. È proprio qui che conobbe Manet - che frequentava questo luogo per disegnare in libertà quando era ancora allievo di Couture - e Pissarro - che spesso lavorava nella campagna intorno a Parigi insieme a Piette.</w:t>
      </w:r>
    </w:p>
    <w:p w14:paraId="53FEFF70"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Édouard Manet nel frattempo riesce a partecipare con due opere al Salon del 1861, riuscendo a distinguersi grazie al dipinto del </w:t>
      </w:r>
      <w:r w:rsidRPr="00D00757">
        <w:rPr>
          <w:rFonts w:ascii="Times New Roman" w:hAnsi="Times New Roman"/>
          <w:bCs/>
          <w:i/>
          <w:spacing w:val="-1"/>
        </w:rPr>
        <w:t>Chitarrista spagnolo</w:t>
      </w:r>
      <w:r w:rsidRPr="00D00757">
        <w:rPr>
          <w:rFonts w:ascii="Times New Roman" w:hAnsi="Times New Roman"/>
          <w:bCs/>
          <w:iCs/>
          <w:spacing w:val="-1"/>
        </w:rPr>
        <w:t>, premiato con una “menzione d’onore”, opera nella quale trasparivano, secondo il critico Théophile Gautier, un’osservazione della vita reale e il fascino del costume esotico.</w:t>
      </w:r>
    </w:p>
    <w:p w14:paraId="789A5675"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Nello stesso anno Monet incontrò un intelligente e spiritoso Edgar Degas e i due divennero grandi amici. Degas faceva ripetuti viaggi in Italia, dove aveva imparato a guardare e interpretare molta dell’arte italiana del passato. Egli dipingeva tanti ritratti di famiglia come, ad esempio, quello della famiglia Bellelli di Firenze, perché lui amava immortalare le persone in atteggiamenti familiari conferendo al volto la stessa gamma espressiva che si conferisce al corpo. Degas si rivelò un pittore disciplinato, che evitava le soluzioni facili e risolveva problemi ambiziosi con uno stile che ne mostra l’affinità con Ingres e con Delacroix.</w:t>
      </w:r>
    </w:p>
    <w:p w14:paraId="53F3C07C"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p>
    <w:p w14:paraId="492C4A29" w14:textId="14BE63E6"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Fu intorno al 1864 che Monet portò i suoi amici Renoir, Sisley e Bazille a Cha</w:t>
      </w:r>
      <w:r w:rsidR="001370CB">
        <w:rPr>
          <w:rFonts w:ascii="Times New Roman" w:hAnsi="Times New Roman"/>
          <w:bCs/>
          <w:iCs/>
          <w:spacing w:val="-1"/>
        </w:rPr>
        <w:t>i</w:t>
      </w:r>
      <w:r w:rsidRPr="00D00757">
        <w:rPr>
          <w:rFonts w:ascii="Times New Roman" w:hAnsi="Times New Roman"/>
          <w:bCs/>
          <w:iCs/>
          <w:spacing w:val="-1"/>
        </w:rPr>
        <w:t>lly, non lontano da Barbizon, per dedicarsi agli studi nella foresta di Fontainebleau. È proprio lì, nei boschi, che conobbero i “maestri di Barbizon”, incontrandoli quasi per caso. Tra gli artisti questo luogo era conosciuto da almeno venti anni e il primo che vi si stabilì fu Théodore Ro</w:t>
      </w:r>
      <w:r>
        <w:rPr>
          <w:rFonts w:ascii="Times New Roman" w:hAnsi="Times New Roman"/>
          <w:bCs/>
          <w:iCs/>
          <w:spacing w:val="-1"/>
        </w:rPr>
        <w:t>u</w:t>
      </w:r>
      <w:r w:rsidRPr="00D00757">
        <w:rPr>
          <w:rFonts w:ascii="Times New Roman" w:hAnsi="Times New Roman"/>
          <w:bCs/>
          <w:iCs/>
          <w:spacing w:val="-1"/>
        </w:rPr>
        <w:t>sseau nel 1836. In seguito Diaz, Millet, Jacque, Corot e Daubigny l’avevano raggiunto nel piccolo villaggio. Tutti questi pittori avevano riscoperto la natura seguendo metodi e concezioni personali molto disparate, ma con il fine comune di osservarla con fedeltà. Ognuno di loro riuscì a dare alle proprie opere una nota peculiare: Ro</w:t>
      </w:r>
      <w:r>
        <w:rPr>
          <w:rFonts w:ascii="Times New Roman" w:hAnsi="Times New Roman"/>
          <w:bCs/>
          <w:iCs/>
          <w:spacing w:val="-1"/>
        </w:rPr>
        <w:t>u</w:t>
      </w:r>
      <w:r w:rsidRPr="00D00757">
        <w:rPr>
          <w:rFonts w:ascii="Times New Roman" w:hAnsi="Times New Roman"/>
          <w:bCs/>
          <w:iCs/>
          <w:spacing w:val="-1"/>
        </w:rPr>
        <w:t>sseau coniugava l’analisi sottile del particolare con un effetto generale di armonia; Diaz eccelleva nei tenebrosi interni dei boschi; Millet cercava l’equilibrio di chiaro e scuro; Corot preferiva le ore dell’alba e del crepuscolo quando la luce è più temprata.</w:t>
      </w:r>
    </w:p>
    <w:p w14:paraId="1E9E844F" w14:textId="50471490" w:rsidR="00D00757" w:rsidRPr="00D00757" w:rsidRDefault="00D00757" w:rsidP="00D00757">
      <w:pPr>
        <w:widowControl w:val="0"/>
        <w:autoSpaceDE w:val="0"/>
        <w:autoSpaceDN w:val="0"/>
        <w:adjustRightInd w:val="0"/>
        <w:ind w:right="70" w:firstLine="0"/>
        <w:jc w:val="both"/>
        <w:rPr>
          <w:rFonts w:ascii="Times New Roman" w:hAnsi="Times New Roman"/>
          <w:bCs/>
          <w:iCs/>
          <w:spacing w:val="-1"/>
        </w:rPr>
      </w:pPr>
    </w:p>
    <w:p w14:paraId="424687D7" w14:textId="670B1A03"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A Cha</w:t>
      </w:r>
      <w:r w:rsidR="001370CB">
        <w:rPr>
          <w:rFonts w:ascii="Times New Roman" w:hAnsi="Times New Roman"/>
          <w:bCs/>
          <w:iCs/>
          <w:spacing w:val="-1"/>
        </w:rPr>
        <w:t>i</w:t>
      </w:r>
      <w:r w:rsidRPr="00D00757">
        <w:rPr>
          <w:rFonts w:ascii="Times New Roman" w:hAnsi="Times New Roman"/>
          <w:bCs/>
          <w:iCs/>
          <w:spacing w:val="-1"/>
        </w:rPr>
        <w:t>lly, Monet e i suoi amici guardarono sicuramente la foresta influenzati dall’interpretazione dei pittori di Barbizon. Sisley era segnato dall’opera di Corot mentre Renoir oscillava tra Diaz, Corot e Courbet. Monet e Pissarro erano più vicini a Millet. Monet però provava una grande ammirazione per Daubigny perché tra tutti quei pittori era l’unico che lavorava direttamente dalla natura. L’immediatezza di</w:t>
      </w:r>
      <w:r w:rsidRPr="00D00757">
        <w:rPr>
          <w:rFonts w:ascii="Times New Roman" w:hAnsi="Times New Roman"/>
          <w:bCs/>
          <w:iCs/>
          <w:spacing w:val="-1"/>
        </w:rPr>
        <w:tab/>
      </w:r>
      <w:r>
        <w:rPr>
          <w:rFonts w:ascii="Times New Roman" w:hAnsi="Times New Roman"/>
          <w:bCs/>
          <w:iCs/>
          <w:spacing w:val="-1"/>
        </w:rPr>
        <w:t xml:space="preserve"> </w:t>
      </w:r>
      <w:r w:rsidRPr="00D00757">
        <w:rPr>
          <w:rFonts w:ascii="Times New Roman" w:hAnsi="Times New Roman"/>
          <w:bCs/>
          <w:iCs/>
          <w:spacing w:val="-1"/>
        </w:rPr>
        <w:t>esecuzione</w:t>
      </w:r>
      <w:r>
        <w:rPr>
          <w:rFonts w:ascii="Times New Roman" w:hAnsi="Times New Roman"/>
          <w:bCs/>
          <w:iCs/>
          <w:spacing w:val="-1"/>
        </w:rPr>
        <w:t xml:space="preserve"> </w:t>
      </w:r>
      <w:r w:rsidRPr="00D00757">
        <w:rPr>
          <w:rFonts w:ascii="Times New Roman" w:hAnsi="Times New Roman"/>
          <w:bCs/>
          <w:iCs/>
          <w:spacing w:val="-1"/>
        </w:rPr>
        <w:t>conferiva</w:t>
      </w:r>
      <w:r>
        <w:rPr>
          <w:rFonts w:ascii="Times New Roman" w:hAnsi="Times New Roman"/>
          <w:bCs/>
          <w:iCs/>
          <w:spacing w:val="-1"/>
        </w:rPr>
        <w:t xml:space="preserve"> </w:t>
      </w:r>
      <w:r w:rsidRPr="00D00757">
        <w:rPr>
          <w:rFonts w:ascii="Times New Roman" w:hAnsi="Times New Roman"/>
          <w:bCs/>
          <w:iCs/>
          <w:spacing w:val="-1"/>
        </w:rPr>
        <w:t>alle sue tele un certo sapore di improvvisazione. Questi aspetti caratterizzeranno, una decina di anni dopo, le tecniche degli Impressionisti. Il seme era stato gettato.</w:t>
      </w:r>
    </w:p>
    <w:p w14:paraId="26D62557"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p>
    <w:p w14:paraId="0110CD1E" w14:textId="77777777" w:rsidR="00D00757" w:rsidRDefault="00D00757" w:rsidP="00D00757">
      <w:pPr>
        <w:widowControl w:val="0"/>
        <w:autoSpaceDE w:val="0"/>
        <w:autoSpaceDN w:val="0"/>
        <w:adjustRightInd w:val="0"/>
        <w:ind w:right="70"/>
        <w:jc w:val="both"/>
        <w:rPr>
          <w:rFonts w:ascii="Times New Roman" w:hAnsi="Times New Roman"/>
          <w:bCs/>
          <w:iCs/>
          <w:spacing w:val="-1"/>
        </w:rPr>
      </w:pPr>
    </w:p>
    <w:p w14:paraId="2CE56BA8" w14:textId="77777777" w:rsidR="00D00757" w:rsidRDefault="00D00757" w:rsidP="00D00757">
      <w:pPr>
        <w:widowControl w:val="0"/>
        <w:autoSpaceDE w:val="0"/>
        <w:autoSpaceDN w:val="0"/>
        <w:adjustRightInd w:val="0"/>
        <w:ind w:right="70"/>
        <w:jc w:val="both"/>
        <w:rPr>
          <w:rFonts w:ascii="Times New Roman" w:hAnsi="Times New Roman"/>
          <w:bCs/>
          <w:iCs/>
          <w:spacing w:val="-1"/>
        </w:rPr>
      </w:pPr>
    </w:p>
    <w:p w14:paraId="0063331B" w14:textId="6DC881FA"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Monet nel 1864 era ad Honfleur con Boudin e Jongkind e da lì scrisse una lettera a Bazille, dicendo che avrebbe inviato all’esposizione di R</w:t>
      </w:r>
      <w:r w:rsidR="00577064">
        <w:rPr>
          <w:rFonts w:ascii="Times New Roman" w:hAnsi="Times New Roman"/>
          <w:bCs/>
          <w:iCs/>
          <w:spacing w:val="-1"/>
        </w:rPr>
        <w:t>o</w:t>
      </w:r>
      <w:r w:rsidRPr="00D00757">
        <w:rPr>
          <w:rFonts w:ascii="Times New Roman" w:hAnsi="Times New Roman"/>
          <w:bCs/>
          <w:iCs/>
          <w:spacing w:val="-1"/>
        </w:rPr>
        <w:t xml:space="preserve">uen un “quadro di fiori”. </w:t>
      </w:r>
      <w:r w:rsidRPr="00577064">
        <w:rPr>
          <w:rFonts w:ascii="Times New Roman" w:hAnsi="Times New Roman"/>
          <w:bCs/>
          <w:i/>
          <w:spacing w:val="-1"/>
        </w:rPr>
        <w:t>I fiori</w:t>
      </w:r>
      <w:r w:rsidRPr="00D00757">
        <w:rPr>
          <w:rFonts w:ascii="Times New Roman" w:hAnsi="Times New Roman"/>
          <w:bCs/>
          <w:iCs/>
          <w:spacing w:val="-1"/>
        </w:rPr>
        <w:t xml:space="preserve"> di Monet (1864) per la cromia ricca ma scura non sono molto lontani da quelli di Courbet, ma vi si denota anche l’influenza di Jongkind. L’ascendente di questo pittore fu molto decisivo per Monet. Con i suoi acquerelli e gli schizzi che eseguiva sul posto, riusciva ad essere fedele alle sue osservazioni e a riprodurle in tutta la loro freschezza. Jongkind cercava di riprodurre il soggetto come gli appariva in particolari condizioni atmosferiche.</w:t>
      </w:r>
    </w:p>
    <w:p w14:paraId="78AC44A2"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La lezione dei maestri di Barbizon era: c’è tanto da vedere intorno e quello che accade più vicino a noi, entro il quale noi ci troviamo, significa “la nostra vita”. Ben presto i futuri Impressionisti si accorsero che la ricerca della natura equivaleva alla ricerca della vita e della contemporaneità. Essi riuscirono a guardare il paesaggio come l’ambiente entro il quale vive l’uomo, che lo modifica lasciandovi i segni della propria storia.</w:t>
      </w:r>
    </w:p>
    <w:p w14:paraId="03D1F30B" w14:textId="77777777" w:rsidR="00D00757" w:rsidRPr="00577064"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286595FC"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Il 1870 fu l’anno della guerra franco-tedesca, mentre l’anno successivo ci fu l’insurrezione della Comune. Parigi è stata notevolmente danneggiata da questi drammatici eventi, così nel 1871 iniziò la ricostruzione. Questi lavori prolungarono le trasformazioni iniziate durante il Secondo Impero, sotto l’egida del barone Haussmann, prefetto della Senna. Si trattò di realizzare grandi assi di circolazione, di edificare stazioni, creare spazi verdi e costruire il nuovo Teatro dell’Opera. La capitale fu allora in pieno rinnovamento e divenne il cuore degli affari, del lusso e dell’intrattenimento.</w:t>
      </w:r>
    </w:p>
    <w:p w14:paraId="5C37A5BC" w14:textId="77777777" w:rsidR="00D00757" w:rsidRPr="00577064"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5DDDF82F"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Verso la fine del 1871, dopo la guerra, i futuri artisti Impressionisti tornarono tutti a Parigi e ripresero i loro incontri al Café Guerbois. Al successivo Salon del 1872 parteciparono Monet, Berthe Morisot e Renoir ma solo l’opera di quest’ultimo fu respinta. Intanto, con un regolamento nuovo, la giuria non era più eletta da tutti gli artisti già ammessi e aveva limitato il diritto di voto a chi aveva ricevuto medaglie. Parecchi artisti protestarono e avanzarono la richiesta di un nuovo Salon des Refusés, che però fu respinta.</w:t>
      </w:r>
    </w:p>
    <w:p w14:paraId="27870994"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p>
    <w:p w14:paraId="028738D4"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Al Salon del 1873 Manet ottenne il suo primo grande successo con </w:t>
      </w:r>
      <w:r w:rsidRPr="00577064">
        <w:rPr>
          <w:rFonts w:ascii="Times New Roman" w:hAnsi="Times New Roman"/>
          <w:bCs/>
          <w:i/>
          <w:spacing w:val="-1"/>
        </w:rPr>
        <w:t>Le Bon Bock</w:t>
      </w:r>
      <w:r w:rsidRPr="00D00757">
        <w:rPr>
          <w:rFonts w:ascii="Times New Roman" w:hAnsi="Times New Roman"/>
          <w:bCs/>
          <w:iCs/>
          <w:spacing w:val="-1"/>
        </w:rPr>
        <w:t xml:space="preserve"> che rappresenta l’incisore Bellot seduto ad un tavolino del Café Guerbois. Ma gli amici del pittore non riconobbero il temperamento consueto dell’artista e ne disapprovarono la figura classicheggiante. Di contro, al Salon ci furono, anche stavolta, molte bocciature che scatenarono altre e numerose proteste e così l’amministrazione cedette. Gli artisti respinti furono invitati, all’inizio del maggio 1873, a presentare le opere ad una giuria più liberale che avrebbe scelto quali esporre in una mostra annunciata come esposizione delle opere rifiutate, ma la maggior parte degli artisti preferì non partecipare.</w:t>
      </w:r>
    </w:p>
    <w:p w14:paraId="189BCA20" w14:textId="77777777" w:rsid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Vi erano tutte le premesse per far passare la voglia a Monet e ai suoi compagni di esporre al Salon e la vittoria di Manet acuì il tutto. Era sempre più chiaro che la giuria non aveva intenzione di adottare idee più liberali e gli artisti non erano più disposti a destinare quadri modificati per rabbonirla. Era più saggio abbandonare il Salon, come predicava appunto Monet e aprire una mostra collettiva a proprie spese. Non c’era ragione di un fallimento, anche perché c’era un certo interesse intorno agli amici, grazie ad un nucleo di collezionisti che fecero aumentare le loro quotazioni. Il progetto di Monet fu ben accolto e nonostante qualche piccola difficoltà organizzativa alla fine si arrivò all’atto costitutivo datato 27 dicembre 1873. Tra i soci vi furono Monet, Renoir, Sisley, Degas, Morisot, Pissarro, Guillaumin, Lepic, Levert e Rouart. Ora serviva cercare una sistemazione adeguata alla mostra. L’occasione si presentò con lo studio del fotografo Nadar che prestò i locali in maniera gratuita. Lo studio si trovava all’angolo con il boulevard des Capucines, nel cuore di Parigi, ed aveva una serie di grandi stanze su due piani con pareti color rosso scuro che ricevevano la luce da grandi vetrate. È allora che iniziò tra i fondatori un’attiva campagna di reclutamento per ottenere più adesioni possibili: arrivarono a ventinove partecipanti ai quali si unirono Bracquemond con tutto il suo gruppo. Manet non partecipò perché credeva che solo il Salon poteva fruttare un prestigio autentico.</w:t>
      </w:r>
    </w:p>
    <w:p w14:paraId="7A7DE76B" w14:textId="77777777" w:rsidR="000F6EAF" w:rsidRPr="000F6EAF" w:rsidRDefault="000F6EAF" w:rsidP="00D00757">
      <w:pPr>
        <w:widowControl w:val="0"/>
        <w:autoSpaceDE w:val="0"/>
        <w:autoSpaceDN w:val="0"/>
        <w:adjustRightInd w:val="0"/>
        <w:ind w:right="70"/>
        <w:jc w:val="both"/>
        <w:rPr>
          <w:rFonts w:ascii="Times New Roman" w:hAnsi="Times New Roman"/>
          <w:bCs/>
          <w:iCs/>
          <w:spacing w:val="-1"/>
          <w:sz w:val="14"/>
          <w:szCs w:val="14"/>
        </w:rPr>
      </w:pPr>
    </w:p>
    <w:p w14:paraId="3E65827E" w14:textId="77777777" w:rsidR="000F6EAF" w:rsidRDefault="000F6EAF" w:rsidP="000F6EAF">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Il gruppo riuscì a riunire 165 opere tra le quali tre opere di C</w:t>
      </w:r>
      <w:r>
        <w:rPr>
          <w:rFonts w:ascii="Times New Roman" w:hAnsi="Times New Roman"/>
          <w:bCs/>
          <w:iCs/>
          <w:spacing w:val="-1"/>
        </w:rPr>
        <w:t>é</w:t>
      </w:r>
      <w:r w:rsidRPr="00D00757">
        <w:rPr>
          <w:rFonts w:ascii="Times New Roman" w:hAnsi="Times New Roman"/>
          <w:bCs/>
          <w:iCs/>
          <w:spacing w:val="-1"/>
        </w:rPr>
        <w:t xml:space="preserve">zanne, dieci di Degas, cinque di Monet, nove di Morisot, cinque paesaggi di Pissarro, altrettanti di Sisley, e sei di Renoir. Il fratello di quest’ultimo, Edmond, ebbe il compito di curare il catalogo. Monet gli diede molto da fare perché mandò troppi quadri con titoli molto monotoni. Monet racconterà in seguito che una delle opere scelte per l’esposizione fu un dipinto fatto a Le Havre dalla finestra: il sole che traspare dai vapori di nebbia e, in primo piano, l’alberatura di alcuni battelli. </w:t>
      </w:r>
    </w:p>
    <w:p w14:paraId="1884B4ED" w14:textId="77777777" w:rsidR="000F6EAF" w:rsidRDefault="000F6EAF" w:rsidP="000F6EAF">
      <w:pPr>
        <w:widowControl w:val="0"/>
        <w:autoSpaceDE w:val="0"/>
        <w:autoSpaceDN w:val="0"/>
        <w:adjustRightInd w:val="0"/>
        <w:ind w:right="70"/>
        <w:jc w:val="both"/>
        <w:rPr>
          <w:rFonts w:ascii="Times New Roman" w:hAnsi="Times New Roman"/>
          <w:bCs/>
          <w:iCs/>
          <w:spacing w:val="-1"/>
        </w:rPr>
      </w:pPr>
    </w:p>
    <w:p w14:paraId="28FA472C" w14:textId="77777777" w:rsidR="000F6EAF" w:rsidRDefault="000F6EAF" w:rsidP="000F6EAF">
      <w:pPr>
        <w:widowControl w:val="0"/>
        <w:autoSpaceDE w:val="0"/>
        <w:autoSpaceDN w:val="0"/>
        <w:adjustRightInd w:val="0"/>
        <w:ind w:right="70"/>
        <w:jc w:val="both"/>
        <w:rPr>
          <w:rFonts w:ascii="Times New Roman" w:hAnsi="Times New Roman"/>
          <w:bCs/>
          <w:iCs/>
          <w:spacing w:val="-1"/>
        </w:rPr>
      </w:pPr>
    </w:p>
    <w:p w14:paraId="3B8B4EE4" w14:textId="77777777" w:rsidR="000F6EAF" w:rsidRDefault="000F6EAF" w:rsidP="000F6EAF">
      <w:pPr>
        <w:widowControl w:val="0"/>
        <w:autoSpaceDE w:val="0"/>
        <w:autoSpaceDN w:val="0"/>
        <w:adjustRightInd w:val="0"/>
        <w:ind w:right="70"/>
        <w:jc w:val="both"/>
        <w:rPr>
          <w:rFonts w:ascii="Times New Roman" w:hAnsi="Times New Roman"/>
          <w:bCs/>
          <w:iCs/>
          <w:spacing w:val="-1"/>
        </w:rPr>
      </w:pPr>
    </w:p>
    <w:p w14:paraId="7703F5C7" w14:textId="24891F87" w:rsidR="000F6EAF" w:rsidRPr="00D00757" w:rsidRDefault="000F6EAF" w:rsidP="000F6EAF">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Il pittore doveva obbligatoriamente dare un titolo ed Edmond per il catalogo e dato che non volle far passare l’opera per una veduta di Le Havre gli disse: “Metta Impressione”. E così il dipinto fu catalogato </w:t>
      </w:r>
      <w:r w:rsidRPr="007C1FF9">
        <w:rPr>
          <w:rFonts w:ascii="Times New Roman" w:hAnsi="Times New Roman"/>
          <w:bCs/>
          <w:i/>
          <w:spacing w:val="-1"/>
        </w:rPr>
        <w:t>Impression. Soleil levant</w:t>
      </w:r>
      <w:r w:rsidRPr="00D00757">
        <w:rPr>
          <w:rFonts w:ascii="Times New Roman" w:hAnsi="Times New Roman"/>
          <w:bCs/>
          <w:iCs/>
          <w:spacing w:val="-1"/>
        </w:rPr>
        <w:t>.</w:t>
      </w:r>
    </w:p>
    <w:p w14:paraId="17B9341A" w14:textId="77777777" w:rsidR="00D00757" w:rsidRPr="000F6EAF" w:rsidRDefault="00D00757" w:rsidP="000F6EAF">
      <w:pPr>
        <w:widowControl w:val="0"/>
        <w:autoSpaceDE w:val="0"/>
        <w:autoSpaceDN w:val="0"/>
        <w:adjustRightInd w:val="0"/>
        <w:ind w:right="70" w:firstLine="0"/>
        <w:jc w:val="both"/>
        <w:rPr>
          <w:rFonts w:ascii="Times New Roman" w:hAnsi="Times New Roman"/>
          <w:bCs/>
          <w:iCs/>
          <w:spacing w:val="-1"/>
          <w:sz w:val="14"/>
          <w:szCs w:val="14"/>
        </w:rPr>
      </w:pPr>
    </w:p>
    <w:p w14:paraId="37109520"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La mostra venne aperta il 15 aprile 1874. L’ingresso costava un franco ma fin dall’inizio la gente ci andava soprattutto per deridere e alcuni critici ebbero commenti duri e rifiutarono di prendere l’iniziata sul serio. Fu proprio dal titolo di quel quadro di Monet che derivò il nome di tutto il movimento, grazie ad un articolo, più scanzonato che denigratorio, del giornalista del Charivari, Luis Leroy. Egli inventava, così per ridere, il termine “Impressionista” senza immaginare quanto grande e durevole sarebbe stata la sua fortuna. Una fortuna nata da quei pochi centimetri di tela che è andata sempre più crescendo, tanto che oggi significa che un gruppo di pittori, assai diversi fra loro, legati da una serie di circostanze comuni e che ebbero la sorte comune di aprire nuove e luminose strade alla pittura a venire, ha un “etichetta” famosa con su scritto “Impressionisti”. Gli artisti accettarono volentieri il termine: la rivista fondata da Renoir con l’amico Georges Rivière per difendere il gruppo durante la sua terza mostra nell’aprile 1877 venne chiamata appunto </w:t>
      </w:r>
      <w:r w:rsidRPr="007C1FF9">
        <w:rPr>
          <w:rFonts w:ascii="Times New Roman" w:hAnsi="Times New Roman"/>
          <w:bCs/>
          <w:i/>
          <w:spacing w:val="-1"/>
        </w:rPr>
        <w:t>L’Impressioniste</w:t>
      </w:r>
      <w:r w:rsidRPr="00D00757">
        <w:rPr>
          <w:rFonts w:ascii="Times New Roman" w:hAnsi="Times New Roman"/>
          <w:bCs/>
          <w:iCs/>
          <w:spacing w:val="-1"/>
        </w:rPr>
        <w:t>.</w:t>
      </w:r>
    </w:p>
    <w:p w14:paraId="1235B1A3"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Leroy può aver avuto in mente un gioco di parole, perché l’espressione “peintured’impression” si riferiva all’imbiancatura delle pareti, al semplice strato di colore steso su di un muro. Anche nella realizzazione di quadri come nella stampa della carta da parati, il colore di fondo veniva chiamato “impression”. Queste restano comunque delle ipotesi ma al di la dell’origine del nome Monet, definendo così la sua veduta del sole nascente, stava spiegando se stesso al pubblico. Stava dicendo che il quadro non era semplicemente un’alba su un porto, ma rappresentava l’effetto esercitato dalla scena sull’occhio dell’artista-osservatore. Il dipinto esprime una percezione e, anche se meno descrittivo di un quadro usuale, possiede la sua fondatezza, ossia la fedeltà ad un’esperienza. L’aggiunta di “impression” rimandava a ciò che è velato e vago in natura, reso con fedeltà al suo aspetto momentaneo.</w:t>
      </w:r>
    </w:p>
    <w:p w14:paraId="30EC78DB" w14:textId="77777777" w:rsidR="00D00757" w:rsidRPr="007C1FF9"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7AE53DB3"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Gli Impressionisti introducevano nelle loro raffigurazioni note di colore che ad un profano sembravano bizzarre e non conformi alla natura. Ma i pittori potevano difendere l’idea che tali toni erano davvero percepiti negli oggetti. Se appropriatamente usati, riuscivano ad armonizzarsi con tutto il resto contribuendo alla vivacità dell’insieme. Inoltre, i toni di colore corrispondevano alle sensazioni che gli artisti provavano osservando i soggetti che dipingevano e potevano essere spiegati come i riflessi di oggetti o come effetti soggettivi di colore, o come luci interagenti. I soggetti potevano essere anche un posto, una persona, un’opera d’arte o anche una situazione esistenziale.</w:t>
      </w:r>
    </w:p>
    <w:p w14:paraId="69ADA983" w14:textId="7F92EC74" w:rsidR="00D00757" w:rsidRPr="00D00757" w:rsidRDefault="00D00757" w:rsidP="000F6EAF">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All’esperienza visiva ed emotiva deve corrispondere, nella pittura, un elemento materiale: il tocco percettibile o la distinta chiarezza di pigmento. La pennellata dell’artista, nella pratica più antica, era spesso considerata una sorta di calligrafia personale e veniva adattata alle forme dell’oggetto rappresentato ma, per quanto spontanea nel riempire un’area o nel dar forma a un contorno, essa apparteneva al disegno e aveva funzione di realizzare il modellato. Riducendo il modellato o a volte eliminandolo del tutto, gli Impressionisti si liberarono gradualmente della pennellata guidata dal volume degli oggetti, rimanendo però sempre ad essi connessi, ma in altri modi: i tronchi erano dipinti con pennellate piatte; il fogliame era composto con tocchi diretti verso l’alto; il mare veniva realizzato con pennellate orizzontali e le siepi in maniera verticale; le nuvole venivano rappresentate con chiazze tondeggianti. Il nuovo modo di conformare la pennellata all’oggetto accresceva la vivacità delle opere e ne aumentava i contrasti e gli effetti di movimento.</w:t>
      </w:r>
    </w:p>
    <w:p w14:paraId="246499F1" w14:textId="77777777" w:rsidR="000F6EAF" w:rsidRPr="000F6EAF" w:rsidRDefault="000F6EAF" w:rsidP="000F6EAF">
      <w:pPr>
        <w:widowControl w:val="0"/>
        <w:autoSpaceDE w:val="0"/>
        <w:autoSpaceDN w:val="0"/>
        <w:adjustRightInd w:val="0"/>
        <w:ind w:right="70" w:firstLine="0"/>
        <w:jc w:val="both"/>
        <w:rPr>
          <w:rFonts w:ascii="Times New Roman" w:hAnsi="Times New Roman"/>
          <w:bCs/>
          <w:iCs/>
          <w:spacing w:val="-1"/>
          <w:sz w:val="14"/>
          <w:szCs w:val="14"/>
        </w:rPr>
      </w:pPr>
    </w:p>
    <w:p w14:paraId="40BAC471" w14:textId="77777777" w:rsidR="000F6EAF" w:rsidRDefault="00D00757" w:rsidP="007C1FF9">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 xml:space="preserve">Il 4 aprile 1877 apre i battenti la terza mostra degli Impressionisti grazie alla determinazione e il finanziamento del neo reclutato Gustave Caillebotte, pittore e mecenate. Essa succede alle mostre del 1874 e del 1876, deludenti dal punto di vista commerciale ma importanti perché hanno rafforzato l’idea che fosse nato un nuovo movimento. All’esposizione presero parte diciotto pittori e furono esposte oltre 130 opere e ciascun </w:t>
      </w:r>
    </w:p>
    <w:p w14:paraId="4F4E07ED" w14:textId="77777777" w:rsidR="000F6EAF" w:rsidRPr="000F6EAF" w:rsidRDefault="000F6EAF" w:rsidP="000F6EAF">
      <w:pPr>
        <w:widowControl w:val="0"/>
        <w:autoSpaceDE w:val="0"/>
        <w:autoSpaceDN w:val="0"/>
        <w:adjustRightInd w:val="0"/>
        <w:ind w:right="70" w:firstLine="0"/>
        <w:jc w:val="both"/>
        <w:rPr>
          <w:rFonts w:ascii="Times New Roman" w:hAnsi="Times New Roman"/>
          <w:bCs/>
          <w:iCs/>
          <w:spacing w:val="-1"/>
          <w:sz w:val="14"/>
          <w:szCs w:val="14"/>
        </w:rPr>
      </w:pPr>
    </w:p>
    <w:p w14:paraId="30241240" w14:textId="77777777" w:rsidR="000F6EAF" w:rsidRDefault="00D00757" w:rsidP="000F6EAF">
      <w:pPr>
        <w:widowControl w:val="0"/>
        <w:autoSpaceDE w:val="0"/>
        <w:autoSpaceDN w:val="0"/>
        <w:adjustRightInd w:val="0"/>
        <w:ind w:right="70" w:firstLine="0"/>
        <w:jc w:val="both"/>
        <w:rPr>
          <w:rFonts w:ascii="Times New Roman" w:hAnsi="Times New Roman"/>
          <w:bCs/>
          <w:iCs/>
          <w:spacing w:val="-1"/>
        </w:rPr>
      </w:pPr>
      <w:r w:rsidRPr="00D00757">
        <w:rPr>
          <w:rFonts w:ascii="Times New Roman" w:hAnsi="Times New Roman"/>
          <w:bCs/>
          <w:iCs/>
          <w:spacing w:val="-1"/>
        </w:rPr>
        <w:t xml:space="preserve">impressionista ne presentò un numero assai maggiore del solito. I temi erano tanti, tra cui nature morte e paesaggi: era esposta l’opera </w:t>
      </w:r>
      <w:r w:rsidRPr="007C1FF9">
        <w:rPr>
          <w:rFonts w:ascii="Times New Roman" w:hAnsi="Times New Roman"/>
          <w:bCs/>
          <w:i/>
          <w:spacing w:val="-1"/>
        </w:rPr>
        <w:t>Bagnanti</w:t>
      </w:r>
      <w:r w:rsidRPr="00D00757">
        <w:rPr>
          <w:rFonts w:ascii="Times New Roman" w:hAnsi="Times New Roman"/>
          <w:bCs/>
          <w:iCs/>
          <w:spacing w:val="-1"/>
        </w:rPr>
        <w:t xml:space="preserve"> di Cezanne; vedute della stazione di</w:t>
      </w:r>
      <w:r w:rsidR="007C1FF9">
        <w:rPr>
          <w:rFonts w:ascii="Times New Roman" w:hAnsi="Times New Roman"/>
          <w:bCs/>
          <w:iCs/>
          <w:spacing w:val="-1"/>
        </w:rPr>
        <w:t xml:space="preserve"> </w:t>
      </w:r>
      <w:r w:rsidRPr="00D00757">
        <w:rPr>
          <w:rFonts w:ascii="Times New Roman" w:hAnsi="Times New Roman"/>
          <w:bCs/>
          <w:iCs/>
          <w:spacing w:val="-1"/>
        </w:rPr>
        <w:t xml:space="preserve">Saint Lazare; ritratti di signore, di famiglie; i dintorni e i luoghi di Parigi; la vita mondana del Ballo al Mulin de la Gallette di Renoir. Nell’universo figurativo degli Impressionisti questi temi provengono dai momenti estetici della vita quotidiana. </w:t>
      </w:r>
    </w:p>
    <w:p w14:paraId="1ECAFEDF" w14:textId="77777777" w:rsidR="000F6EAF" w:rsidRDefault="000F6EAF" w:rsidP="000F6EAF">
      <w:pPr>
        <w:widowControl w:val="0"/>
        <w:autoSpaceDE w:val="0"/>
        <w:autoSpaceDN w:val="0"/>
        <w:adjustRightInd w:val="0"/>
        <w:ind w:right="70" w:firstLine="0"/>
        <w:jc w:val="both"/>
        <w:rPr>
          <w:rFonts w:ascii="Times New Roman" w:hAnsi="Times New Roman"/>
          <w:bCs/>
          <w:iCs/>
          <w:spacing w:val="-1"/>
        </w:rPr>
      </w:pPr>
    </w:p>
    <w:p w14:paraId="6291C62E" w14:textId="77777777" w:rsidR="000F6EAF" w:rsidRDefault="000F6EAF" w:rsidP="000F6EAF">
      <w:pPr>
        <w:widowControl w:val="0"/>
        <w:autoSpaceDE w:val="0"/>
        <w:autoSpaceDN w:val="0"/>
        <w:adjustRightInd w:val="0"/>
        <w:ind w:right="70" w:firstLine="0"/>
        <w:jc w:val="both"/>
        <w:rPr>
          <w:rFonts w:ascii="Times New Roman" w:hAnsi="Times New Roman"/>
          <w:bCs/>
          <w:iCs/>
          <w:spacing w:val="-1"/>
        </w:rPr>
      </w:pPr>
    </w:p>
    <w:p w14:paraId="20DEC3F6" w14:textId="77777777" w:rsidR="000F6EAF" w:rsidRPr="000F6EAF" w:rsidRDefault="000F6EAF" w:rsidP="000F6EAF">
      <w:pPr>
        <w:widowControl w:val="0"/>
        <w:autoSpaceDE w:val="0"/>
        <w:autoSpaceDN w:val="0"/>
        <w:adjustRightInd w:val="0"/>
        <w:ind w:right="70" w:firstLine="0"/>
        <w:jc w:val="both"/>
        <w:rPr>
          <w:rFonts w:ascii="Times New Roman" w:hAnsi="Times New Roman"/>
          <w:bCs/>
          <w:iCs/>
          <w:spacing w:val="-1"/>
          <w:sz w:val="14"/>
          <w:szCs w:val="14"/>
        </w:rPr>
      </w:pPr>
    </w:p>
    <w:p w14:paraId="3EAB05F3" w14:textId="0D6CC56E" w:rsidR="00D00757" w:rsidRDefault="00D00757" w:rsidP="000F6EAF">
      <w:pPr>
        <w:widowControl w:val="0"/>
        <w:autoSpaceDE w:val="0"/>
        <w:autoSpaceDN w:val="0"/>
        <w:adjustRightInd w:val="0"/>
        <w:ind w:right="70" w:firstLine="0"/>
        <w:jc w:val="both"/>
        <w:rPr>
          <w:rFonts w:ascii="Times New Roman" w:hAnsi="Times New Roman"/>
          <w:bCs/>
          <w:iCs/>
          <w:spacing w:val="-1"/>
        </w:rPr>
      </w:pPr>
      <w:r w:rsidRPr="00D00757">
        <w:rPr>
          <w:rFonts w:ascii="Times New Roman" w:hAnsi="Times New Roman"/>
          <w:bCs/>
          <w:iCs/>
          <w:spacing w:val="-1"/>
        </w:rPr>
        <w:t>Persino coloro che respingevano la pittura impressionista godevano delle località e delle occasioni che essi rappresentavano, le frequentavano e le apprezzavano.</w:t>
      </w:r>
    </w:p>
    <w:p w14:paraId="42102035" w14:textId="77777777" w:rsidR="00D00757" w:rsidRPr="007C1FF9"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7FB05E6D"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Questo comune gioire della natura, dello sport e dello spettacolo facevano di Parigi, intorno alla metà del XIX secolo, la capitale del piacere. Per la sua qualità e per il primato dato alla celebrazione della vita moderna, l’edizione del 1877 forse rimarrà la più impressionista di tutte le mostre.</w:t>
      </w:r>
    </w:p>
    <w:p w14:paraId="2C237F40" w14:textId="77777777" w:rsidR="00D00757" w:rsidRPr="007C1FF9"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68D57345"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Verso la metà degli anni Ottanta del XIX secolo gli Impressionisti avevano cominciato a perdere quel tanto di coesione che il gruppo era riuscito a conservare sulla base delle intenzioni e delle mostre originarie. Nel 1884 si era costituita una nuova associazione di giovani artisti indipendenti che includeva Seurat, Gauguin e Paul Signac. Alcuni di loro avevano dipinto secondo lo stile impressionista, ma se ne stavano allora distaccando. Già Renoir, tra il 1882 e il 1883, era angustiato dalla difficoltà di mantenere l’approccio impressionista. Inoltre erano tempi finanziariamente difficili perché la vendita dei quadri aveva subito dei contraccolpi e in più continuavano le reazioni ideologiche che portavano sempre ad un atteggiamento di disprezzo.</w:t>
      </w:r>
    </w:p>
    <w:p w14:paraId="5FB400AC"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Un’altra critica agli Impressionisti veniva da quei pittori che, pur ammirandoli e apprezzando le loro liete immagini, credevano che le loro innovazioni, riguardanti il colore e la tecnica, fossero poco scientifiche, incoerenti nell’analisi di luci e colore. Il   leader   di   questi   dissidenti   era   Seurat.   La tesi era che l’Impressionismo poteva essere perfezionato tramite un controllo più esigente e deliberato, fondato su una tecnica, una scienza e una misura. Gli artisti che con Seurat condividevano questo programma, insieme a Signac abbracciarono prospettive sociali radicali pensando che l’arte, come la società, dipendessero dallo sviluppo di un approccio razionale e scientifico.</w:t>
      </w:r>
    </w:p>
    <w:p w14:paraId="178AA1D3"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Queste reazioni, pur respingendo i valori dell’Impressionismo, in realtà ancora ne dipendevano perché veniva mantenuta e rafforzata l’importanza centrale dell’esperienza e della prospettiva personale dell’artista e la sua libertà in relazione al colore, al disegno e alla composizione, insieme a tutta la parte emotiva, sentimentale ed espressiva.</w:t>
      </w:r>
    </w:p>
    <w:p w14:paraId="3C6EDF3D" w14:textId="77777777" w:rsidR="00D00757" w:rsidRPr="007C1FF9" w:rsidRDefault="00D00757" w:rsidP="00D00757">
      <w:pPr>
        <w:widowControl w:val="0"/>
        <w:autoSpaceDE w:val="0"/>
        <w:autoSpaceDN w:val="0"/>
        <w:adjustRightInd w:val="0"/>
        <w:ind w:right="70"/>
        <w:jc w:val="both"/>
        <w:rPr>
          <w:rFonts w:ascii="Times New Roman" w:hAnsi="Times New Roman"/>
          <w:bCs/>
          <w:iCs/>
          <w:spacing w:val="-1"/>
          <w:sz w:val="14"/>
          <w:szCs w:val="14"/>
        </w:rPr>
      </w:pPr>
    </w:p>
    <w:p w14:paraId="0476FADC" w14:textId="77777777" w:rsidR="00D00757" w:rsidRP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I valori impressionisti non scomparvero. Non solo l’Impressionismo continuò ad attrarre il grande pubblico, scarsamente interessato alle nuove forme di pittura, ma alle scoperte impressioniste continuarono a far riferimento per altri cinquant’anni anche pittori di grande originalità.</w:t>
      </w:r>
    </w:p>
    <w:p w14:paraId="63827946" w14:textId="1BB1D4E4" w:rsidR="00D00757" w:rsidRDefault="00D00757" w:rsidP="00D00757">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Si può constatare quanto le caratteristiche dello stile siano presenti nei movimenti artistici che ne sembrano più lontani, come nei pittori Fauve, nei Cubisti, nei Surrealisti, negli Espressionisti tedeschi e perfino nella pittura astratta. Quattro fondamentali tratti estetici e tecnici dell’Impressionismo – la predominanza della pennellata; l’evidenza della superfic</w:t>
      </w:r>
      <w:r w:rsidR="007C1FF9">
        <w:rPr>
          <w:rFonts w:ascii="Times New Roman" w:hAnsi="Times New Roman"/>
          <w:bCs/>
          <w:iCs/>
          <w:spacing w:val="-1"/>
        </w:rPr>
        <w:t>i</w:t>
      </w:r>
      <w:r w:rsidRPr="00D00757">
        <w:rPr>
          <w:rFonts w:ascii="Times New Roman" w:hAnsi="Times New Roman"/>
          <w:bCs/>
          <w:iCs/>
          <w:spacing w:val="-1"/>
        </w:rPr>
        <w:t>e in quanto trama intessuta sulla tela; la propensione per la casualità come contesto compositivo in cui i colori vengono armonizzati; il fatto che la tela impressionista venga percepita sia come un’immagine che come una superfic</w:t>
      </w:r>
      <w:r w:rsidR="007C1FF9">
        <w:rPr>
          <w:rFonts w:ascii="Times New Roman" w:hAnsi="Times New Roman"/>
          <w:bCs/>
          <w:iCs/>
          <w:spacing w:val="-1"/>
        </w:rPr>
        <w:t>i</w:t>
      </w:r>
      <w:r w:rsidRPr="00D00757">
        <w:rPr>
          <w:rFonts w:ascii="Times New Roman" w:hAnsi="Times New Roman"/>
          <w:bCs/>
          <w:iCs/>
          <w:spacing w:val="-1"/>
        </w:rPr>
        <w:t xml:space="preserve">e </w:t>
      </w:r>
      <w:r w:rsidR="000F6EAF" w:rsidRPr="00D00757">
        <w:rPr>
          <w:rFonts w:ascii="Times New Roman" w:hAnsi="Times New Roman"/>
          <w:bCs/>
          <w:iCs/>
          <w:spacing w:val="-1"/>
        </w:rPr>
        <w:t>dipinta –</w:t>
      </w:r>
      <w:r w:rsidRPr="00D00757">
        <w:rPr>
          <w:rFonts w:ascii="Times New Roman" w:hAnsi="Times New Roman"/>
          <w:bCs/>
          <w:iCs/>
          <w:spacing w:val="-1"/>
        </w:rPr>
        <w:t xml:space="preserve"> appaiono in molti dei più avanzati tipi di pittura della prima metà del XX secolo, ponendo così le basi della pittura moderna.</w:t>
      </w:r>
    </w:p>
    <w:p w14:paraId="49CD4A20" w14:textId="77777777" w:rsidR="000F6EAF" w:rsidRPr="000F6EAF" w:rsidRDefault="000F6EAF" w:rsidP="00D00757">
      <w:pPr>
        <w:widowControl w:val="0"/>
        <w:autoSpaceDE w:val="0"/>
        <w:autoSpaceDN w:val="0"/>
        <w:adjustRightInd w:val="0"/>
        <w:ind w:right="70"/>
        <w:jc w:val="both"/>
        <w:rPr>
          <w:rFonts w:ascii="Times New Roman" w:hAnsi="Times New Roman"/>
          <w:bCs/>
          <w:iCs/>
          <w:spacing w:val="-1"/>
          <w:sz w:val="14"/>
          <w:szCs w:val="14"/>
        </w:rPr>
      </w:pPr>
    </w:p>
    <w:p w14:paraId="472D5A6B" w14:textId="77777777" w:rsidR="000F6EAF" w:rsidRPr="00D00757" w:rsidRDefault="000F6EAF" w:rsidP="000F6EAF">
      <w:pPr>
        <w:widowControl w:val="0"/>
        <w:autoSpaceDE w:val="0"/>
        <w:autoSpaceDN w:val="0"/>
        <w:adjustRightInd w:val="0"/>
        <w:ind w:right="70"/>
        <w:jc w:val="both"/>
        <w:rPr>
          <w:rFonts w:ascii="Times New Roman" w:hAnsi="Times New Roman"/>
          <w:bCs/>
          <w:iCs/>
          <w:spacing w:val="-1"/>
        </w:rPr>
      </w:pPr>
      <w:r w:rsidRPr="00D00757">
        <w:rPr>
          <w:rFonts w:ascii="Times New Roman" w:hAnsi="Times New Roman"/>
          <w:bCs/>
          <w:iCs/>
          <w:spacing w:val="-1"/>
        </w:rPr>
        <w:t>«La perfezione è opera collettiva››, scrisse Boudin, «senza l’un</w:t>
      </w:r>
      <w:r>
        <w:rPr>
          <w:rFonts w:ascii="Times New Roman" w:hAnsi="Times New Roman"/>
          <w:bCs/>
          <w:iCs/>
          <w:spacing w:val="-1"/>
        </w:rPr>
        <w:t>a</w:t>
      </w:r>
      <w:r w:rsidRPr="00D00757">
        <w:rPr>
          <w:rFonts w:ascii="Times New Roman" w:hAnsi="Times New Roman"/>
          <w:bCs/>
          <w:iCs/>
          <w:spacing w:val="-1"/>
        </w:rPr>
        <w:t xml:space="preserve"> nemmeno l’altr</w:t>
      </w:r>
      <w:r>
        <w:rPr>
          <w:rFonts w:ascii="Times New Roman" w:hAnsi="Times New Roman"/>
          <w:bCs/>
          <w:iCs/>
          <w:spacing w:val="-1"/>
        </w:rPr>
        <w:t>a</w:t>
      </w:r>
      <w:r w:rsidRPr="00D00757">
        <w:rPr>
          <w:rFonts w:ascii="Times New Roman" w:hAnsi="Times New Roman"/>
          <w:bCs/>
          <w:iCs/>
          <w:spacing w:val="-1"/>
        </w:rPr>
        <w:t xml:space="preserve"> sarebbe arrivat</w:t>
      </w:r>
      <w:r>
        <w:rPr>
          <w:rFonts w:ascii="Times New Roman" w:hAnsi="Times New Roman"/>
          <w:bCs/>
          <w:iCs/>
          <w:spacing w:val="-1"/>
        </w:rPr>
        <w:t>a</w:t>
      </w:r>
      <w:r w:rsidRPr="00D00757">
        <w:rPr>
          <w:rFonts w:ascii="Times New Roman" w:hAnsi="Times New Roman"/>
          <w:bCs/>
          <w:iCs/>
          <w:spacing w:val="-1"/>
        </w:rPr>
        <w:t xml:space="preserve"> dove è arrivat</w:t>
      </w:r>
      <w:r>
        <w:rPr>
          <w:rFonts w:ascii="Times New Roman" w:hAnsi="Times New Roman"/>
          <w:bCs/>
          <w:iCs/>
          <w:spacing w:val="-1"/>
        </w:rPr>
        <w:t>a</w:t>
      </w:r>
      <w:r w:rsidRPr="00D00757">
        <w:rPr>
          <w:rFonts w:ascii="Times New Roman" w:hAnsi="Times New Roman"/>
          <w:bCs/>
          <w:iCs/>
          <w:spacing w:val="-1"/>
        </w:rPr>
        <w:t>». Ciò valse per questo gruppo di pittori che insieme apprendevano, lottavano, soffrirono ed esposero le loro opere. Spesso andarono contro i loro interessi reciproci e, come gruppo, furono divisi da qualche conflitto interno, ma la loro opera dimostrò, forse meglio delle loro azioni, come lottarono per conquistare una visione nuova, sia in maniera individuale che in maniera collettiva.</w:t>
      </w:r>
    </w:p>
    <w:p w14:paraId="31F288B9" w14:textId="77777777" w:rsidR="000F6EAF" w:rsidRPr="000F6EAF" w:rsidRDefault="000F6EAF" w:rsidP="000F6EAF">
      <w:pPr>
        <w:widowControl w:val="0"/>
        <w:autoSpaceDE w:val="0"/>
        <w:autoSpaceDN w:val="0"/>
        <w:adjustRightInd w:val="0"/>
        <w:ind w:right="70"/>
        <w:jc w:val="both"/>
        <w:rPr>
          <w:rFonts w:ascii="Times New Roman" w:hAnsi="Times New Roman"/>
          <w:bCs/>
          <w:iCs/>
          <w:spacing w:val="-1"/>
          <w:sz w:val="2"/>
          <w:szCs w:val="2"/>
        </w:rPr>
      </w:pPr>
    </w:p>
    <w:p w14:paraId="4073F07B" w14:textId="77777777" w:rsidR="000F6EAF" w:rsidRPr="000F6EAF" w:rsidRDefault="000F6EAF" w:rsidP="000F6EAF">
      <w:pPr>
        <w:widowControl w:val="0"/>
        <w:autoSpaceDE w:val="0"/>
        <w:autoSpaceDN w:val="0"/>
        <w:adjustRightInd w:val="0"/>
        <w:ind w:right="70"/>
        <w:jc w:val="right"/>
        <w:rPr>
          <w:rFonts w:ascii="Times New Roman" w:hAnsi="Times New Roman"/>
          <w:bCs/>
          <w:i/>
          <w:spacing w:val="-1"/>
        </w:rPr>
      </w:pPr>
      <w:r w:rsidRPr="000F6EAF">
        <w:rPr>
          <w:rFonts w:ascii="Times New Roman" w:hAnsi="Times New Roman"/>
          <w:bCs/>
          <w:i/>
          <w:spacing w:val="-1"/>
        </w:rPr>
        <w:t>Stefano Oliviero</w:t>
      </w:r>
    </w:p>
    <w:p w14:paraId="3ADD7F44" w14:textId="77777777" w:rsidR="000F6EAF" w:rsidRPr="000F6EAF" w:rsidRDefault="000F6EAF" w:rsidP="000F6EAF">
      <w:pPr>
        <w:widowControl w:val="0"/>
        <w:autoSpaceDE w:val="0"/>
        <w:autoSpaceDN w:val="0"/>
        <w:adjustRightInd w:val="0"/>
        <w:ind w:right="70"/>
        <w:jc w:val="right"/>
        <w:rPr>
          <w:rFonts w:ascii="Times New Roman" w:hAnsi="Times New Roman"/>
          <w:bCs/>
          <w:i/>
          <w:spacing w:val="-1"/>
        </w:rPr>
      </w:pPr>
      <w:r w:rsidRPr="000F6EAF">
        <w:rPr>
          <w:rFonts w:ascii="Times New Roman" w:hAnsi="Times New Roman"/>
          <w:bCs/>
          <w:i/>
          <w:spacing w:val="-1"/>
        </w:rPr>
        <w:t>Storico dell’arte e curatore</w:t>
      </w:r>
    </w:p>
    <w:sectPr w:rsidR="000F6EAF" w:rsidRPr="000F6EAF" w:rsidSect="00235289">
      <w:headerReference w:type="default" r:id="rId6"/>
      <w:footerReference w:type="default" r:id="rId7"/>
      <w:pgSz w:w="11906" w:h="16838"/>
      <w:pgMar w:top="284" w:right="1134" w:bottom="0" w:left="1134"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D75C77" w14:textId="77777777" w:rsidR="0059640A" w:rsidRDefault="0059640A" w:rsidP="00B134DF">
      <w:r>
        <w:separator/>
      </w:r>
    </w:p>
  </w:endnote>
  <w:endnote w:type="continuationSeparator" w:id="0">
    <w:p w14:paraId="56630580" w14:textId="77777777" w:rsidR="0059640A" w:rsidRDefault="0059640A" w:rsidP="00B13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484B28" w14:textId="77777777" w:rsidR="00B134DF" w:rsidRPr="00D454BE" w:rsidRDefault="00B134DF" w:rsidP="00B134DF">
    <w:pPr>
      <w:jc w:val="center"/>
      <w:rPr>
        <w:rFonts w:ascii="Times New Roman" w:hAnsi="Times New Roman" w:cs="Times New Roman"/>
        <w:b/>
        <w:bCs/>
        <w:sz w:val="18"/>
        <w:szCs w:val="18"/>
        <w:lang w:val="it-IT"/>
      </w:rPr>
    </w:pPr>
    <w:r w:rsidRPr="00D454BE">
      <w:rPr>
        <w:rFonts w:ascii="Times New Roman" w:hAnsi="Times New Roman" w:cs="Times New Roman"/>
        <w:b/>
        <w:bCs/>
        <w:sz w:val="18"/>
        <w:szCs w:val="18"/>
        <w:lang w:val="it-IT"/>
      </w:rPr>
      <w:t>UFFICIO STAMPA</w:t>
    </w:r>
  </w:p>
  <w:p w14:paraId="6F77E278" w14:textId="77777777" w:rsidR="00B134DF" w:rsidRPr="00D454BE" w:rsidRDefault="00B134DF" w:rsidP="00B134DF">
    <w:pPr>
      <w:pStyle w:val="Pidipagina"/>
      <w:jc w:val="center"/>
      <w:rPr>
        <w:rFonts w:ascii="Times New Roman" w:hAnsi="Times New Roman" w:cs="Times New Roman"/>
        <w:b/>
        <w:bCs/>
        <w:sz w:val="2"/>
        <w:szCs w:val="2"/>
      </w:rPr>
    </w:pPr>
  </w:p>
  <w:p w14:paraId="6538047C" w14:textId="77777777" w:rsidR="00B134DF" w:rsidRPr="00D454BE" w:rsidRDefault="00B134DF" w:rsidP="00B134DF">
    <w:pPr>
      <w:pStyle w:val="Pidipagina"/>
      <w:ind w:left="-567" w:right="-1134"/>
      <w:jc w:val="center"/>
      <w:rPr>
        <w:rFonts w:ascii="Times New Roman" w:hAnsi="Times New Roman" w:cs="Times New Roman"/>
        <w:sz w:val="18"/>
        <w:szCs w:val="18"/>
      </w:rPr>
    </w:pPr>
    <w:r w:rsidRPr="00D454BE">
      <w:rPr>
        <w:rFonts w:ascii="Times New Roman" w:hAnsi="Times New Roman" w:cs="Times New Roman"/>
        <w:sz w:val="18"/>
        <w:szCs w:val="18"/>
      </w:rPr>
      <w:t>Fabrizio Kühne – Mob. (+39) 339 83 83 413 - Brunella Bianchi – Mob. (+39) 331 26 30 029</w:t>
    </w:r>
  </w:p>
  <w:p w14:paraId="311102A8" w14:textId="77777777" w:rsidR="00B134DF" w:rsidRPr="00D454BE" w:rsidRDefault="00B134DF" w:rsidP="00B134DF">
    <w:pPr>
      <w:pStyle w:val="Pidipagina"/>
      <w:ind w:left="-567" w:right="-1134"/>
      <w:jc w:val="center"/>
      <w:rPr>
        <w:sz w:val="2"/>
        <w:szCs w:val="2"/>
      </w:rPr>
    </w:pPr>
    <w:r w:rsidRPr="00D454BE">
      <w:rPr>
        <w:rFonts w:ascii="Times New Roman" w:hAnsi="Times New Roman" w:cs="Times New Roman"/>
        <w:sz w:val="18"/>
        <w:szCs w:val="18"/>
      </w:rPr>
      <w:t xml:space="preserve">E-mail: </w:t>
    </w:r>
    <w:hyperlink r:id="rId1" w:history="1">
      <w:r w:rsidRPr="00D454BE">
        <w:rPr>
          <w:rStyle w:val="Collegamentoipertestuale"/>
          <w:rFonts w:ascii="Times New Roman" w:hAnsi="Times New Roman" w:cs="Times New Roman"/>
          <w:sz w:val="18"/>
          <w:szCs w:val="18"/>
        </w:rPr>
        <w:t>comunicazione@fabriziokuhne.com</w:t>
      </w:r>
    </w:hyperlink>
  </w:p>
  <w:p w14:paraId="0B46CC2A" w14:textId="1F9AECCD" w:rsidR="00B134DF" w:rsidRPr="00B134DF" w:rsidRDefault="00B134DF" w:rsidP="00B134DF">
    <w:pPr>
      <w:pStyle w:val="Pidipagina"/>
      <w:jc w:val="center"/>
      <w:rPr>
        <w:sz w:val="2"/>
        <w:szCs w:val="2"/>
      </w:rPr>
    </w:pPr>
  </w:p>
  <w:p w14:paraId="4DEDDD8C" w14:textId="77777777" w:rsidR="00B134DF" w:rsidRDefault="00B134D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D0092A" w14:textId="77777777" w:rsidR="0059640A" w:rsidRDefault="0059640A" w:rsidP="00B134DF">
      <w:r>
        <w:separator/>
      </w:r>
    </w:p>
  </w:footnote>
  <w:footnote w:type="continuationSeparator" w:id="0">
    <w:p w14:paraId="65888BEA" w14:textId="77777777" w:rsidR="0059640A" w:rsidRDefault="0059640A" w:rsidP="00B134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3DF73E" w14:textId="4F7EF5B5" w:rsidR="00B134DF" w:rsidRDefault="00867142" w:rsidP="00B134DF">
    <w:pPr>
      <w:pStyle w:val="Intestazione"/>
      <w:jc w:val="center"/>
    </w:pPr>
    <w:r w:rsidRPr="00245080">
      <w:rPr>
        <w:noProof/>
        <w:lang w:eastAsia="it-IT"/>
      </w:rPr>
      <w:drawing>
        <wp:inline distT="0" distB="0" distL="0" distR="0" wp14:anchorId="54A4F6D8" wp14:editId="15DD86F1">
          <wp:extent cx="6120130" cy="1388745"/>
          <wp:effectExtent l="0" t="0" r="0" b="1905"/>
          <wp:docPr id="2" name="Immagine 3" descr="Immagine che contiene testo, schermata, Carattere,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descr="Immagine che contiene testo, schermata, Carattere,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6120130" cy="138874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4DF"/>
    <w:rsid w:val="000359EB"/>
    <w:rsid w:val="000454E6"/>
    <w:rsid w:val="00075CD1"/>
    <w:rsid w:val="000874B7"/>
    <w:rsid w:val="000F6EAF"/>
    <w:rsid w:val="001370CB"/>
    <w:rsid w:val="00235289"/>
    <w:rsid w:val="00265970"/>
    <w:rsid w:val="003B604D"/>
    <w:rsid w:val="0040540F"/>
    <w:rsid w:val="0047528F"/>
    <w:rsid w:val="004B6563"/>
    <w:rsid w:val="004D4945"/>
    <w:rsid w:val="00534D1F"/>
    <w:rsid w:val="00577064"/>
    <w:rsid w:val="0059640A"/>
    <w:rsid w:val="0065790B"/>
    <w:rsid w:val="00680D5D"/>
    <w:rsid w:val="0070702B"/>
    <w:rsid w:val="00743E70"/>
    <w:rsid w:val="00775CD0"/>
    <w:rsid w:val="007B60E6"/>
    <w:rsid w:val="007C1FF9"/>
    <w:rsid w:val="007C63E4"/>
    <w:rsid w:val="007D5B42"/>
    <w:rsid w:val="00852447"/>
    <w:rsid w:val="00867142"/>
    <w:rsid w:val="009401FC"/>
    <w:rsid w:val="009C74B1"/>
    <w:rsid w:val="00A25385"/>
    <w:rsid w:val="00B134DF"/>
    <w:rsid w:val="00B451EF"/>
    <w:rsid w:val="00B908F2"/>
    <w:rsid w:val="00BA423B"/>
    <w:rsid w:val="00CC0953"/>
    <w:rsid w:val="00CD36BB"/>
    <w:rsid w:val="00CE75BE"/>
    <w:rsid w:val="00D00757"/>
    <w:rsid w:val="00D115CB"/>
    <w:rsid w:val="00D4084A"/>
    <w:rsid w:val="00E6375C"/>
    <w:rsid w:val="00EA70B2"/>
    <w:rsid w:val="00F57D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6FEA40"/>
  <w15:chartTrackingRefBased/>
  <w15:docId w15:val="{BCC5C824-D7D1-4B58-8EAF-612E98FD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134DF"/>
    <w:pPr>
      <w:ind w:firstLine="360"/>
      <w:jc w:val="left"/>
    </w:pPr>
    <w:rPr>
      <w:kern w:val="0"/>
      <w:lang w:val="en-US" w:bidi="en-US"/>
      <w14:ligatures w14:val="none"/>
    </w:rPr>
  </w:style>
  <w:style w:type="paragraph" w:styleId="Titolo1">
    <w:name w:val="heading 1"/>
    <w:basedOn w:val="Normale"/>
    <w:next w:val="Normale"/>
    <w:link w:val="Titolo1Carattere"/>
    <w:uiPriority w:val="9"/>
    <w:qFormat/>
    <w:rsid w:val="00B134DF"/>
    <w:pPr>
      <w:keepNext/>
      <w:keepLines/>
      <w:spacing w:before="360" w:after="80"/>
      <w:ind w:firstLine="0"/>
      <w:outlineLvl w:val="0"/>
    </w:pPr>
    <w:rPr>
      <w:rFonts w:asciiTheme="majorHAnsi" w:eastAsiaTheme="majorEastAsia" w:hAnsiTheme="majorHAnsi" w:cstheme="majorBidi"/>
      <w:color w:val="0F4761" w:themeColor="accent1" w:themeShade="BF"/>
      <w:kern w:val="2"/>
      <w:sz w:val="40"/>
      <w:szCs w:val="40"/>
      <w:lang w:val="it-IT" w:bidi="ar-SA"/>
      <w14:ligatures w14:val="standardContextual"/>
    </w:rPr>
  </w:style>
  <w:style w:type="paragraph" w:styleId="Titolo2">
    <w:name w:val="heading 2"/>
    <w:basedOn w:val="Normale"/>
    <w:next w:val="Normale"/>
    <w:link w:val="Titolo2Carattere"/>
    <w:uiPriority w:val="9"/>
    <w:semiHidden/>
    <w:unhideWhenUsed/>
    <w:qFormat/>
    <w:rsid w:val="00B134DF"/>
    <w:pPr>
      <w:keepNext/>
      <w:keepLines/>
      <w:spacing w:before="160" w:after="80"/>
      <w:ind w:firstLine="0"/>
      <w:outlineLvl w:val="1"/>
    </w:pPr>
    <w:rPr>
      <w:rFonts w:asciiTheme="majorHAnsi" w:eastAsiaTheme="majorEastAsia" w:hAnsiTheme="majorHAnsi" w:cstheme="majorBidi"/>
      <w:color w:val="0F4761" w:themeColor="accent1" w:themeShade="BF"/>
      <w:kern w:val="2"/>
      <w:sz w:val="32"/>
      <w:szCs w:val="32"/>
      <w:lang w:val="it-IT" w:bidi="ar-SA"/>
      <w14:ligatures w14:val="standardContextual"/>
    </w:rPr>
  </w:style>
  <w:style w:type="paragraph" w:styleId="Titolo3">
    <w:name w:val="heading 3"/>
    <w:basedOn w:val="Normale"/>
    <w:next w:val="Normale"/>
    <w:link w:val="Titolo3Carattere"/>
    <w:uiPriority w:val="9"/>
    <w:semiHidden/>
    <w:unhideWhenUsed/>
    <w:qFormat/>
    <w:rsid w:val="00B134DF"/>
    <w:pPr>
      <w:keepNext/>
      <w:keepLines/>
      <w:spacing w:before="160" w:after="80"/>
      <w:ind w:firstLine="0"/>
      <w:outlineLvl w:val="2"/>
    </w:pPr>
    <w:rPr>
      <w:rFonts w:eastAsiaTheme="majorEastAsia" w:cstheme="majorBidi"/>
      <w:color w:val="0F4761" w:themeColor="accent1" w:themeShade="BF"/>
      <w:kern w:val="2"/>
      <w:sz w:val="28"/>
      <w:szCs w:val="28"/>
      <w:lang w:val="it-IT" w:bidi="ar-SA"/>
      <w14:ligatures w14:val="standardContextual"/>
    </w:rPr>
  </w:style>
  <w:style w:type="paragraph" w:styleId="Titolo4">
    <w:name w:val="heading 4"/>
    <w:basedOn w:val="Normale"/>
    <w:next w:val="Normale"/>
    <w:link w:val="Titolo4Carattere"/>
    <w:uiPriority w:val="9"/>
    <w:semiHidden/>
    <w:unhideWhenUsed/>
    <w:qFormat/>
    <w:rsid w:val="00B134DF"/>
    <w:pPr>
      <w:keepNext/>
      <w:keepLines/>
      <w:spacing w:before="80" w:after="40"/>
      <w:ind w:firstLine="0"/>
      <w:outlineLvl w:val="3"/>
    </w:pPr>
    <w:rPr>
      <w:rFonts w:eastAsiaTheme="majorEastAsia" w:cstheme="majorBidi"/>
      <w:i/>
      <w:iCs/>
      <w:color w:val="0F4761" w:themeColor="accent1" w:themeShade="BF"/>
      <w:kern w:val="2"/>
      <w:lang w:val="it-IT" w:bidi="ar-SA"/>
      <w14:ligatures w14:val="standardContextual"/>
    </w:rPr>
  </w:style>
  <w:style w:type="paragraph" w:styleId="Titolo5">
    <w:name w:val="heading 5"/>
    <w:basedOn w:val="Normale"/>
    <w:next w:val="Normale"/>
    <w:link w:val="Titolo5Carattere"/>
    <w:uiPriority w:val="9"/>
    <w:semiHidden/>
    <w:unhideWhenUsed/>
    <w:qFormat/>
    <w:rsid w:val="00B134DF"/>
    <w:pPr>
      <w:keepNext/>
      <w:keepLines/>
      <w:spacing w:before="80" w:after="40"/>
      <w:ind w:firstLine="0"/>
      <w:outlineLvl w:val="4"/>
    </w:pPr>
    <w:rPr>
      <w:rFonts w:eastAsiaTheme="majorEastAsia" w:cstheme="majorBidi"/>
      <w:color w:val="0F4761" w:themeColor="accent1" w:themeShade="BF"/>
      <w:kern w:val="2"/>
      <w:lang w:val="it-IT" w:bidi="ar-SA"/>
      <w14:ligatures w14:val="standardContextual"/>
    </w:rPr>
  </w:style>
  <w:style w:type="paragraph" w:styleId="Titolo6">
    <w:name w:val="heading 6"/>
    <w:basedOn w:val="Normale"/>
    <w:next w:val="Normale"/>
    <w:link w:val="Titolo6Carattere"/>
    <w:uiPriority w:val="9"/>
    <w:semiHidden/>
    <w:unhideWhenUsed/>
    <w:qFormat/>
    <w:rsid w:val="00B134DF"/>
    <w:pPr>
      <w:keepNext/>
      <w:keepLines/>
      <w:spacing w:before="40"/>
      <w:ind w:firstLine="0"/>
      <w:outlineLvl w:val="5"/>
    </w:pPr>
    <w:rPr>
      <w:rFonts w:eastAsiaTheme="majorEastAsia" w:cstheme="majorBidi"/>
      <w:i/>
      <w:iCs/>
      <w:color w:val="595959" w:themeColor="text1" w:themeTint="A6"/>
      <w:kern w:val="2"/>
      <w:lang w:val="it-IT" w:bidi="ar-SA"/>
      <w14:ligatures w14:val="standardContextual"/>
    </w:rPr>
  </w:style>
  <w:style w:type="paragraph" w:styleId="Titolo7">
    <w:name w:val="heading 7"/>
    <w:basedOn w:val="Normale"/>
    <w:next w:val="Normale"/>
    <w:link w:val="Titolo7Carattere"/>
    <w:uiPriority w:val="9"/>
    <w:semiHidden/>
    <w:unhideWhenUsed/>
    <w:qFormat/>
    <w:rsid w:val="00B134DF"/>
    <w:pPr>
      <w:keepNext/>
      <w:keepLines/>
      <w:spacing w:before="40"/>
      <w:ind w:firstLine="0"/>
      <w:outlineLvl w:val="6"/>
    </w:pPr>
    <w:rPr>
      <w:rFonts w:eastAsiaTheme="majorEastAsia" w:cstheme="majorBidi"/>
      <w:color w:val="595959" w:themeColor="text1" w:themeTint="A6"/>
      <w:kern w:val="2"/>
      <w:lang w:val="it-IT" w:bidi="ar-SA"/>
      <w14:ligatures w14:val="standardContextual"/>
    </w:rPr>
  </w:style>
  <w:style w:type="paragraph" w:styleId="Titolo8">
    <w:name w:val="heading 8"/>
    <w:basedOn w:val="Normale"/>
    <w:next w:val="Normale"/>
    <w:link w:val="Titolo8Carattere"/>
    <w:uiPriority w:val="9"/>
    <w:semiHidden/>
    <w:unhideWhenUsed/>
    <w:qFormat/>
    <w:rsid w:val="00B134DF"/>
    <w:pPr>
      <w:keepNext/>
      <w:keepLines/>
      <w:ind w:firstLine="0"/>
      <w:outlineLvl w:val="7"/>
    </w:pPr>
    <w:rPr>
      <w:rFonts w:eastAsiaTheme="majorEastAsia" w:cstheme="majorBidi"/>
      <w:i/>
      <w:iCs/>
      <w:color w:val="272727" w:themeColor="text1" w:themeTint="D8"/>
      <w:kern w:val="2"/>
      <w:lang w:val="it-IT" w:bidi="ar-SA"/>
      <w14:ligatures w14:val="standardContextual"/>
    </w:rPr>
  </w:style>
  <w:style w:type="paragraph" w:styleId="Titolo9">
    <w:name w:val="heading 9"/>
    <w:basedOn w:val="Normale"/>
    <w:next w:val="Normale"/>
    <w:link w:val="Titolo9Carattere"/>
    <w:uiPriority w:val="9"/>
    <w:semiHidden/>
    <w:unhideWhenUsed/>
    <w:qFormat/>
    <w:rsid w:val="00B134DF"/>
    <w:pPr>
      <w:keepNext/>
      <w:keepLines/>
      <w:ind w:firstLine="0"/>
      <w:outlineLvl w:val="8"/>
    </w:pPr>
    <w:rPr>
      <w:rFonts w:eastAsiaTheme="majorEastAsia" w:cstheme="majorBidi"/>
      <w:color w:val="272727" w:themeColor="text1" w:themeTint="D8"/>
      <w:kern w:val="2"/>
      <w:lang w:val="it-IT" w:bidi="ar-SA"/>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134D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134D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134D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134D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134D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134D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134D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134D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134D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134DF"/>
    <w:pPr>
      <w:spacing w:after="80"/>
      <w:ind w:firstLine="0"/>
      <w:contextualSpacing/>
    </w:pPr>
    <w:rPr>
      <w:rFonts w:asciiTheme="majorHAnsi" w:eastAsiaTheme="majorEastAsia" w:hAnsiTheme="majorHAnsi" w:cstheme="majorBidi"/>
      <w:spacing w:val="-10"/>
      <w:kern w:val="28"/>
      <w:sz w:val="56"/>
      <w:szCs w:val="56"/>
      <w:lang w:val="it-IT" w:bidi="ar-SA"/>
      <w14:ligatures w14:val="standardContextual"/>
    </w:rPr>
  </w:style>
  <w:style w:type="character" w:customStyle="1" w:styleId="TitoloCarattere">
    <w:name w:val="Titolo Carattere"/>
    <w:basedOn w:val="Carpredefinitoparagrafo"/>
    <w:link w:val="Titolo"/>
    <w:uiPriority w:val="10"/>
    <w:rsid w:val="00B134D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134DF"/>
    <w:pPr>
      <w:numPr>
        <w:ilvl w:val="1"/>
      </w:numPr>
      <w:spacing w:after="160"/>
      <w:ind w:firstLine="360"/>
    </w:pPr>
    <w:rPr>
      <w:rFonts w:eastAsiaTheme="majorEastAsia" w:cstheme="majorBidi"/>
      <w:color w:val="595959" w:themeColor="text1" w:themeTint="A6"/>
      <w:spacing w:val="15"/>
      <w:kern w:val="2"/>
      <w:sz w:val="28"/>
      <w:szCs w:val="28"/>
      <w:lang w:val="it-IT" w:bidi="ar-SA"/>
      <w14:ligatures w14:val="standardContextual"/>
    </w:rPr>
  </w:style>
  <w:style w:type="character" w:customStyle="1" w:styleId="SottotitoloCarattere">
    <w:name w:val="Sottotitolo Carattere"/>
    <w:basedOn w:val="Carpredefinitoparagrafo"/>
    <w:link w:val="Sottotitolo"/>
    <w:uiPriority w:val="11"/>
    <w:rsid w:val="00B134D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134DF"/>
    <w:pPr>
      <w:spacing w:before="160" w:after="160"/>
      <w:ind w:firstLine="0"/>
      <w:jc w:val="center"/>
    </w:pPr>
    <w:rPr>
      <w:i/>
      <w:iCs/>
      <w:color w:val="404040" w:themeColor="text1" w:themeTint="BF"/>
      <w:kern w:val="2"/>
      <w:lang w:val="it-IT" w:bidi="ar-SA"/>
      <w14:ligatures w14:val="standardContextual"/>
    </w:rPr>
  </w:style>
  <w:style w:type="character" w:customStyle="1" w:styleId="CitazioneCarattere">
    <w:name w:val="Citazione Carattere"/>
    <w:basedOn w:val="Carpredefinitoparagrafo"/>
    <w:link w:val="Citazione"/>
    <w:uiPriority w:val="29"/>
    <w:rsid w:val="00B134DF"/>
    <w:rPr>
      <w:i/>
      <w:iCs/>
      <w:color w:val="404040" w:themeColor="text1" w:themeTint="BF"/>
    </w:rPr>
  </w:style>
  <w:style w:type="paragraph" w:styleId="Paragrafoelenco">
    <w:name w:val="List Paragraph"/>
    <w:basedOn w:val="Normale"/>
    <w:uiPriority w:val="34"/>
    <w:qFormat/>
    <w:rsid w:val="00B134DF"/>
    <w:pPr>
      <w:ind w:left="720" w:firstLine="0"/>
      <w:contextualSpacing/>
    </w:pPr>
    <w:rPr>
      <w:kern w:val="2"/>
      <w:lang w:val="it-IT" w:bidi="ar-SA"/>
      <w14:ligatures w14:val="standardContextual"/>
    </w:rPr>
  </w:style>
  <w:style w:type="character" w:styleId="Enfasiintensa">
    <w:name w:val="Intense Emphasis"/>
    <w:basedOn w:val="Carpredefinitoparagrafo"/>
    <w:uiPriority w:val="21"/>
    <w:qFormat/>
    <w:rsid w:val="00B134DF"/>
    <w:rPr>
      <w:i/>
      <w:iCs/>
      <w:color w:val="0F4761" w:themeColor="accent1" w:themeShade="BF"/>
    </w:rPr>
  </w:style>
  <w:style w:type="paragraph" w:styleId="Citazioneintensa">
    <w:name w:val="Intense Quote"/>
    <w:basedOn w:val="Normale"/>
    <w:next w:val="Normale"/>
    <w:link w:val="CitazioneintensaCarattere"/>
    <w:uiPriority w:val="30"/>
    <w:qFormat/>
    <w:rsid w:val="00B134DF"/>
    <w:pPr>
      <w:pBdr>
        <w:top w:val="single" w:sz="4" w:space="10" w:color="0F4761" w:themeColor="accent1" w:themeShade="BF"/>
        <w:bottom w:val="single" w:sz="4" w:space="10" w:color="0F4761" w:themeColor="accent1" w:themeShade="BF"/>
      </w:pBdr>
      <w:spacing w:before="360" w:after="360"/>
      <w:ind w:left="864" w:right="864" w:firstLine="0"/>
      <w:jc w:val="center"/>
    </w:pPr>
    <w:rPr>
      <w:i/>
      <w:iCs/>
      <w:color w:val="0F4761" w:themeColor="accent1" w:themeShade="BF"/>
      <w:kern w:val="2"/>
      <w:lang w:val="it-IT" w:bidi="ar-SA"/>
      <w14:ligatures w14:val="standardContextual"/>
    </w:rPr>
  </w:style>
  <w:style w:type="character" w:customStyle="1" w:styleId="CitazioneintensaCarattere">
    <w:name w:val="Citazione intensa Carattere"/>
    <w:basedOn w:val="Carpredefinitoparagrafo"/>
    <w:link w:val="Citazioneintensa"/>
    <w:uiPriority w:val="30"/>
    <w:rsid w:val="00B134DF"/>
    <w:rPr>
      <w:i/>
      <w:iCs/>
      <w:color w:val="0F4761" w:themeColor="accent1" w:themeShade="BF"/>
    </w:rPr>
  </w:style>
  <w:style w:type="character" w:styleId="Riferimentointenso">
    <w:name w:val="Intense Reference"/>
    <w:basedOn w:val="Carpredefinitoparagrafo"/>
    <w:uiPriority w:val="32"/>
    <w:qFormat/>
    <w:rsid w:val="00B134DF"/>
    <w:rPr>
      <w:b/>
      <w:bCs/>
      <w:smallCaps/>
      <w:color w:val="0F4761" w:themeColor="accent1" w:themeShade="BF"/>
      <w:spacing w:val="5"/>
    </w:rPr>
  </w:style>
  <w:style w:type="paragraph" w:styleId="Intestazione">
    <w:name w:val="header"/>
    <w:basedOn w:val="Normale"/>
    <w:link w:val="IntestazioneCarattere"/>
    <w:uiPriority w:val="99"/>
    <w:unhideWhenUsed/>
    <w:rsid w:val="00B134DF"/>
    <w:pPr>
      <w:tabs>
        <w:tab w:val="center" w:pos="4819"/>
        <w:tab w:val="right" w:pos="9638"/>
      </w:tabs>
      <w:ind w:firstLine="0"/>
    </w:pPr>
    <w:rPr>
      <w:kern w:val="2"/>
      <w:lang w:val="it-IT" w:bidi="ar-SA"/>
      <w14:ligatures w14:val="standardContextual"/>
    </w:rPr>
  </w:style>
  <w:style w:type="character" w:customStyle="1" w:styleId="IntestazioneCarattere">
    <w:name w:val="Intestazione Carattere"/>
    <w:basedOn w:val="Carpredefinitoparagrafo"/>
    <w:link w:val="Intestazione"/>
    <w:uiPriority w:val="99"/>
    <w:rsid w:val="00B134DF"/>
  </w:style>
  <w:style w:type="paragraph" w:styleId="Pidipagina">
    <w:name w:val="footer"/>
    <w:basedOn w:val="Normale"/>
    <w:link w:val="PidipaginaCarattere"/>
    <w:uiPriority w:val="99"/>
    <w:unhideWhenUsed/>
    <w:rsid w:val="00B134DF"/>
    <w:pPr>
      <w:tabs>
        <w:tab w:val="center" w:pos="4819"/>
        <w:tab w:val="right" w:pos="9638"/>
      </w:tabs>
      <w:ind w:firstLine="0"/>
    </w:pPr>
    <w:rPr>
      <w:kern w:val="2"/>
      <w:lang w:val="it-IT" w:bidi="ar-SA"/>
      <w14:ligatures w14:val="standardContextual"/>
    </w:rPr>
  </w:style>
  <w:style w:type="character" w:customStyle="1" w:styleId="PidipaginaCarattere">
    <w:name w:val="Piè di pagina Carattere"/>
    <w:basedOn w:val="Carpredefinitoparagrafo"/>
    <w:link w:val="Pidipagina"/>
    <w:uiPriority w:val="99"/>
    <w:rsid w:val="00B134DF"/>
  </w:style>
  <w:style w:type="character" w:styleId="Collegamentoipertestuale">
    <w:name w:val="Hyperlink"/>
    <w:uiPriority w:val="99"/>
    <w:unhideWhenUsed/>
    <w:rsid w:val="00B134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comunicazione@fabriziokuhn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2725</Words>
  <Characters>15534</Characters>
  <Application>Microsoft Office Word</Application>
  <DocSecurity>0</DocSecurity>
  <Lines>129</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 ufficiostampa</dc:creator>
  <cp:keywords/>
  <dc:description/>
  <cp:lastModifiedBy>BB ufficiostampa</cp:lastModifiedBy>
  <cp:revision>5</cp:revision>
  <dcterms:created xsi:type="dcterms:W3CDTF">2024-10-30T17:10:00Z</dcterms:created>
  <dcterms:modified xsi:type="dcterms:W3CDTF">2024-11-11T08:54:00Z</dcterms:modified>
</cp:coreProperties>
</file>